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276"/>
        <w:gridCol w:w="4030"/>
        <w:gridCol w:w="8550"/>
      </w:tblGrid>
      <w:tr w:rsidR="005E66BD" w:rsidRPr="005066E2" w:rsidTr="004A0C64">
        <w:trPr>
          <w:trHeight w:val="592"/>
        </w:trPr>
        <w:tc>
          <w:tcPr>
            <w:tcW w:w="1276" w:type="dxa"/>
            <w:shd w:val="clear" w:color="auto" w:fill="auto"/>
            <w:vAlign w:val="center"/>
          </w:tcPr>
          <w:p w:rsidR="005E66BD" w:rsidRPr="00200E75" w:rsidRDefault="005E66BD" w:rsidP="00BA2E45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6586" simplePos="0" relativeHeight="251659264" behindDoc="1" locked="0" layoutInCell="1" allowOverlap="1" wp14:anchorId="553F2501" wp14:editId="727B6CB4">
                  <wp:simplePos x="0" y="0"/>
                  <wp:positionH relativeFrom="margin">
                    <wp:posOffset>-38735</wp:posOffset>
                  </wp:positionH>
                  <wp:positionV relativeFrom="margin">
                    <wp:posOffset>9525</wp:posOffset>
                  </wp:positionV>
                  <wp:extent cx="621665" cy="467995"/>
                  <wp:effectExtent l="19050" t="0" r="6985" b="0"/>
                  <wp:wrapTight wrapText="bothSides">
                    <wp:wrapPolygon edited="0">
                      <wp:start x="2648" y="0"/>
                      <wp:lineTo x="-662" y="6155"/>
                      <wp:lineTo x="-662" y="14068"/>
                      <wp:lineTo x="1324" y="21102"/>
                      <wp:lineTo x="2648" y="21102"/>
                      <wp:lineTo x="18533" y="21102"/>
                      <wp:lineTo x="19857" y="21102"/>
                      <wp:lineTo x="21843" y="16706"/>
                      <wp:lineTo x="21843" y="6155"/>
                      <wp:lineTo x="20519" y="879"/>
                      <wp:lineTo x="18533" y="0"/>
                      <wp:lineTo x="2648" y="0"/>
                    </wp:wrapPolygon>
                  </wp:wrapTight>
                  <wp:docPr id="2" name="t58443465" descr="Descrição: http://cdn7.fotosearch.com/bthumb/CSP/CSP644/k6444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58443465" descr="Descrição: http://cdn7.fotosearch.com/bthumb/CSP/CSP644/k6444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46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5E66BD" w:rsidRPr="006729FC" w:rsidRDefault="005E66BD" w:rsidP="00BA2E45">
            <w:pPr>
              <w:ind w:left="-108"/>
              <w:rPr>
                <w:rFonts w:asciiTheme="minorHAnsi" w:hAnsiTheme="minorHAnsi" w:cstheme="minorHAnsi"/>
                <w:b/>
                <w:spacing w:val="86"/>
                <w:sz w:val="16"/>
                <w:szCs w:val="16"/>
              </w:rPr>
            </w:pPr>
            <w:r w:rsidRPr="006729FC">
              <w:rPr>
                <w:rFonts w:asciiTheme="minorHAnsi" w:hAnsiTheme="minorHAnsi" w:cstheme="minorHAnsi"/>
                <w:b/>
                <w:spacing w:val="86"/>
                <w:sz w:val="16"/>
                <w:szCs w:val="16"/>
              </w:rPr>
              <w:t xml:space="preserve">VIDA ATIVA </w:t>
            </w:r>
          </w:p>
          <w:p w:rsidR="005E66BD" w:rsidRDefault="005E66BD" w:rsidP="00BA2E45">
            <w:pPr>
              <w:ind w:left="-108"/>
              <w:rPr>
                <w:rFonts w:asciiTheme="minorHAnsi" w:hAnsiTheme="minorHAnsi" w:cstheme="minorHAnsi"/>
                <w:spacing w:val="16"/>
                <w:sz w:val="16"/>
                <w:szCs w:val="16"/>
              </w:rPr>
            </w:pPr>
            <w:r w:rsidRPr="006729FC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>Emprego Qualificado</w:t>
            </w:r>
          </w:p>
          <w:p w:rsidR="00866929" w:rsidRDefault="00866929" w:rsidP="00BA2E45">
            <w:pPr>
              <w:ind w:left="-108"/>
              <w:rPr>
                <w:rFonts w:asciiTheme="minorHAnsi" w:hAnsiTheme="minorHAnsi" w:cstheme="minorHAnsi"/>
                <w:spacing w:val="16"/>
                <w:sz w:val="16"/>
                <w:szCs w:val="16"/>
              </w:rPr>
            </w:pPr>
          </w:p>
          <w:p w:rsidR="00733E5F" w:rsidRPr="00733E5F" w:rsidRDefault="00733E5F" w:rsidP="00BA2E45">
            <w:pPr>
              <w:ind w:left="-108"/>
              <w:rPr>
                <w:rFonts w:asciiTheme="minorHAnsi" w:hAnsiTheme="minorHAnsi" w:cstheme="minorHAnsi"/>
                <w:i/>
                <w:spacing w:val="32"/>
                <w:sz w:val="16"/>
                <w:szCs w:val="16"/>
              </w:rPr>
            </w:pPr>
            <w:r w:rsidRPr="00733E5F">
              <w:rPr>
                <w:rFonts w:asciiTheme="minorHAnsi" w:hAnsiTheme="minorHAnsi" w:cstheme="minorHAnsi"/>
                <w:spacing w:val="32"/>
                <w:sz w:val="16"/>
                <w:szCs w:val="16"/>
                <w:shd w:val="clear" w:color="auto" w:fill="B8CCE4" w:themeFill="accent1" w:themeFillTint="66"/>
              </w:rPr>
              <w:t>DESEMPREGADOS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5E66BD" w:rsidRDefault="005E66BD" w:rsidP="00BA2E45">
            <w:pPr>
              <w:rPr>
                <w:rFonts w:asciiTheme="minorHAnsi" w:hAnsiTheme="minorHAnsi" w:cstheme="minorHAnsi"/>
                <w:i/>
                <w:spacing w:val="16"/>
                <w:sz w:val="16"/>
                <w:szCs w:val="16"/>
              </w:rPr>
            </w:pPr>
          </w:p>
          <w:p w:rsidR="005E66BD" w:rsidRDefault="005E66BD" w:rsidP="00BA2E45">
            <w:pPr>
              <w:ind w:left="1107"/>
              <w:jc w:val="right"/>
              <w:rPr>
                <w:rFonts w:ascii="Arial Narrow" w:hAnsi="Arial Narrow"/>
                <w:b/>
                <w:caps/>
                <w:shadow/>
                <w:color w:val="17365D" w:themeColor="text2" w:themeShade="BF"/>
                <w:sz w:val="18"/>
                <w:szCs w:val="18"/>
              </w:rPr>
            </w:pPr>
            <w:r w:rsidRPr="005E66BD">
              <w:rPr>
                <w:rFonts w:ascii="Arial Narrow" w:hAnsi="Arial Narrow"/>
                <w:b/>
                <w:caps/>
                <w:shadow/>
                <w:color w:val="17365D" w:themeColor="text2" w:themeShade="BF"/>
                <w:sz w:val="18"/>
                <w:szCs w:val="18"/>
              </w:rPr>
              <w:t>mapa de apoios sociais</w:t>
            </w:r>
          </w:p>
          <w:p w:rsidR="00C13466" w:rsidRPr="00F17A14" w:rsidRDefault="00C13466" w:rsidP="00BA2E45">
            <w:pPr>
              <w:ind w:left="1107"/>
              <w:jc w:val="right"/>
              <w:rPr>
                <w:rFonts w:asciiTheme="minorHAnsi" w:hAnsiTheme="minorHAnsi" w:cstheme="minorHAnsi"/>
                <w:color w:val="7F7F7F" w:themeColor="text1" w:themeTint="80"/>
                <w:sz w:val="16"/>
              </w:rPr>
            </w:pPr>
            <w:proofErr w:type="gramStart"/>
            <w:r w:rsidRPr="00F17A14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cf</w:t>
            </w:r>
            <w:proofErr w:type="gramEnd"/>
            <w:r w:rsidRPr="00F17A14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. Despacho Normativo n.º 12/2012, de 21 de maio e</w:t>
            </w:r>
          </w:p>
          <w:p w:rsidR="00C13466" w:rsidRPr="00C13466" w:rsidRDefault="00C13466" w:rsidP="00BA2E45">
            <w:pPr>
              <w:ind w:left="1107"/>
              <w:jc w:val="right"/>
              <w:rPr>
                <w:rFonts w:asciiTheme="minorHAnsi" w:hAnsiTheme="minorHAnsi" w:cstheme="minorHAnsi"/>
                <w:sz w:val="16"/>
              </w:rPr>
            </w:pPr>
            <w:r w:rsidRPr="00F17A14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Despacho Normativo n.º 6/2013, de 24 de maio</w:t>
            </w:r>
            <w:r w:rsidRPr="00C13466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:rsidR="00C13466" w:rsidRPr="005E66BD" w:rsidRDefault="00C13466" w:rsidP="00BA2E45">
            <w:pPr>
              <w:ind w:left="1107"/>
              <w:jc w:val="right"/>
              <w:rPr>
                <w:rFonts w:asciiTheme="minorHAnsi" w:hAnsiTheme="minorHAnsi" w:cstheme="minorHAnsi"/>
                <w:b/>
                <w:shadow/>
                <w:color w:val="17365D" w:themeColor="text2" w:themeShade="BF"/>
                <w:sz w:val="18"/>
                <w:szCs w:val="18"/>
              </w:rPr>
            </w:pPr>
          </w:p>
          <w:p w:rsidR="005E66BD" w:rsidRDefault="005E66BD" w:rsidP="00BA2E45">
            <w:pPr>
              <w:ind w:left="1107"/>
              <w:jc w:val="right"/>
              <w:rPr>
                <w:rFonts w:asciiTheme="minorHAnsi" w:hAnsiTheme="minorHAnsi" w:cstheme="minorHAnsi"/>
                <w:i/>
                <w:spacing w:val="16"/>
                <w:sz w:val="16"/>
                <w:szCs w:val="16"/>
              </w:rPr>
            </w:pPr>
          </w:p>
          <w:p w:rsidR="005E66BD" w:rsidRDefault="005E66BD" w:rsidP="00BA2E45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</w:p>
          <w:p w:rsidR="005E66BD" w:rsidRPr="006729FC" w:rsidRDefault="005E66BD" w:rsidP="00BA2E45">
            <w:pPr>
              <w:jc w:val="right"/>
              <w:rPr>
                <w:rFonts w:asciiTheme="minorHAnsi" w:hAnsiTheme="minorHAnsi" w:cstheme="minorHAnsi"/>
                <w:i/>
                <w:spacing w:val="16"/>
                <w:sz w:val="16"/>
                <w:szCs w:val="16"/>
              </w:rPr>
            </w:pPr>
          </w:p>
        </w:tc>
      </w:tr>
    </w:tbl>
    <w:tbl>
      <w:tblPr>
        <w:tblStyle w:val="Tabelacomgrelha1"/>
        <w:tblW w:w="0" w:type="auto"/>
        <w:tblInd w:w="357" w:type="dxa"/>
        <w:tblLook w:val="04A0" w:firstRow="1" w:lastRow="0" w:firstColumn="1" w:lastColumn="0" w:noHBand="0" w:noVBand="1"/>
      </w:tblPr>
      <w:tblGrid>
        <w:gridCol w:w="3437"/>
        <w:gridCol w:w="10206"/>
      </w:tblGrid>
      <w:tr w:rsidR="002E4E7A" w:rsidRPr="002E4E7A" w:rsidTr="002F2C14">
        <w:tc>
          <w:tcPr>
            <w:tcW w:w="3437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</w:tcPr>
          <w:p w:rsidR="002F2C14" w:rsidRPr="002F2C14" w:rsidRDefault="002F2C14" w:rsidP="002F2C14">
            <w:pPr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  <w:p w:rsidR="002E4E7A" w:rsidRPr="002E4E7A" w:rsidRDefault="002E4E7A" w:rsidP="00C13466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4E7A" w:rsidRPr="002E4E7A" w:rsidRDefault="002E4E7A" w:rsidP="00A908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66BD" w:rsidRPr="00866929" w:rsidTr="002F2C14">
        <w:trPr>
          <w:trHeight w:val="187"/>
        </w:trPr>
        <w:tc>
          <w:tcPr>
            <w:tcW w:w="13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E66BD" w:rsidRPr="00866929" w:rsidRDefault="00B21115" w:rsidP="00B21115">
            <w:pPr>
              <w:spacing w:before="40" w:after="40"/>
              <w:ind w:left="69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E4E7A">
              <w:rPr>
                <w:rFonts w:asciiTheme="minorHAnsi" w:hAnsiTheme="minorHAnsi" w:cstheme="minorHAnsi"/>
                <w:b/>
                <w:sz w:val="22"/>
                <w:szCs w:val="22"/>
              </w:rPr>
              <w:t>Apoios Sociais</w:t>
            </w:r>
          </w:p>
        </w:tc>
      </w:tr>
      <w:tr w:rsidR="000773DA" w:rsidRPr="002E4E7A" w:rsidTr="002F2C14">
        <w:trPr>
          <w:trHeight w:val="1816"/>
        </w:trPr>
        <w:tc>
          <w:tcPr>
            <w:tcW w:w="3437" w:type="dxa"/>
            <w:tcBorders>
              <w:top w:val="nil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773DA" w:rsidRPr="002E4E7A" w:rsidRDefault="000773DA" w:rsidP="00C13466">
            <w:pPr>
              <w:spacing w:before="120" w:after="120"/>
              <w:ind w:left="69"/>
              <w:rPr>
                <w:rFonts w:asciiTheme="minorHAnsi" w:hAnsiTheme="minorHAnsi" w:cstheme="minorHAnsi"/>
                <w:b/>
              </w:rPr>
            </w:pPr>
            <w:r w:rsidRPr="002E4E7A">
              <w:rPr>
                <w:rFonts w:asciiTheme="minorHAnsi" w:hAnsiTheme="minorHAnsi" w:cstheme="minorHAnsi"/>
                <w:b/>
              </w:rPr>
              <w:t>Bolsa de formação</w:t>
            </w:r>
            <w:r w:rsidR="00C13466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10206" w:type="dxa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vAlign w:val="center"/>
          </w:tcPr>
          <w:p w:rsidR="000773DA" w:rsidRDefault="000773DA" w:rsidP="00C05933">
            <w:pPr>
              <w:ind w:left="0"/>
              <w:contextualSpacing/>
              <w:rPr>
                <w:rFonts w:asciiTheme="minorHAnsi" w:hAnsiTheme="minorHAnsi" w:cstheme="minorHAnsi"/>
              </w:rPr>
            </w:pPr>
            <w:r w:rsidRPr="002E4E7A">
              <w:rPr>
                <w:rFonts w:asciiTheme="minorHAnsi" w:hAnsiTheme="minorHAnsi" w:cstheme="minorHAnsi"/>
              </w:rPr>
              <w:t>O valor mensal da bolsa de formação a pagar é calculado em função do n.º de horas de formação frequentadas, de acordo com a seguinte fórmula</w:t>
            </w:r>
            <w:r w:rsidR="00C13466">
              <w:rPr>
                <w:rFonts w:asciiTheme="minorHAnsi" w:hAnsiTheme="minorHAnsi" w:cstheme="minorHAnsi"/>
                <w:vertAlign w:val="superscript"/>
              </w:rPr>
              <w:t>2</w:t>
            </w:r>
            <w:r w:rsidRPr="002E4E7A">
              <w:rPr>
                <w:rFonts w:asciiTheme="minorHAnsi" w:hAnsiTheme="minorHAnsi" w:cstheme="minorHAnsi"/>
              </w:rPr>
              <w:t xml:space="preserve">: </w:t>
            </w:r>
          </w:p>
          <w:p w:rsidR="00C05933" w:rsidRPr="00C05933" w:rsidRDefault="00C05933" w:rsidP="00E7770C">
            <w:pPr>
              <w:spacing w:before="120" w:after="120"/>
              <w:ind w:left="194"/>
              <w:contextualSpacing/>
              <w:rPr>
                <w:rFonts w:asciiTheme="minorHAnsi" w:hAnsiTheme="minorHAnsi" w:cstheme="minorHAnsi"/>
                <w:sz w:val="12"/>
              </w:rPr>
            </w:pPr>
          </w:p>
          <w:p w:rsidR="00C05933" w:rsidRPr="00C05933" w:rsidRDefault="00C05933" w:rsidP="00E60C2A">
            <w:pPr>
              <w:spacing w:before="120" w:after="120"/>
              <w:ind w:left="194"/>
              <w:contextualSpacing/>
              <w:jc w:val="center"/>
              <w:rPr>
                <w:rFonts w:asciiTheme="minorHAnsi" w:hAnsiTheme="minorHAnsi" w:cstheme="minorHAnsi"/>
                <w:i/>
                <w:u w:val="single"/>
              </w:rPr>
            </w:pPr>
            <w:proofErr w:type="spellStart"/>
            <w:r w:rsidRPr="001349AA">
              <w:rPr>
                <w:rFonts w:asciiTheme="minorHAnsi" w:hAnsiTheme="minorHAnsi" w:cstheme="minorHAnsi"/>
                <w:i/>
              </w:rPr>
              <w:t>Vbp</w:t>
            </w:r>
            <w:proofErr w:type="spellEnd"/>
            <w:r w:rsidRPr="001349AA">
              <w:rPr>
                <w:rFonts w:asciiTheme="minorHAnsi" w:hAnsiTheme="minorHAnsi" w:cstheme="minorHAnsi"/>
                <w:i/>
              </w:rPr>
              <w:t xml:space="preserve"> = </w:t>
            </w:r>
            <w:proofErr w:type="spellStart"/>
            <w:r w:rsidRPr="00C05933">
              <w:rPr>
                <w:rFonts w:asciiTheme="minorHAnsi" w:hAnsiTheme="minorHAnsi" w:cstheme="minorHAnsi"/>
                <w:i/>
                <w:u w:val="single"/>
              </w:rPr>
              <w:t>Nhf</w:t>
            </w:r>
            <w:proofErr w:type="spellEnd"/>
            <w:r w:rsidRPr="00C05933">
              <w:rPr>
                <w:rFonts w:asciiTheme="minorHAnsi" w:hAnsiTheme="minorHAnsi" w:cstheme="minorHAnsi"/>
                <w:i/>
                <w:u w:val="single"/>
              </w:rPr>
              <w:t xml:space="preserve">  x </w:t>
            </w:r>
            <w:proofErr w:type="spellStart"/>
            <w:r w:rsidRPr="00C05933">
              <w:rPr>
                <w:rFonts w:asciiTheme="minorHAnsi" w:hAnsiTheme="minorHAnsi" w:cstheme="minorHAnsi"/>
                <w:i/>
                <w:u w:val="single"/>
              </w:rPr>
              <w:t>Vb</w:t>
            </w:r>
            <w:proofErr w:type="spellEnd"/>
            <w:r w:rsidRPr="00C05933">
              <w:rPr>
                <w:rFonts w:asciiTheme="minorHAnsi" w:hAnsiTheme="minorHAnsi" w:cstheme="minorHAnsi"/>
                <w:i/>
                <w:u w:val="single"/>
              </w:rPr>
              <w:t xml:space="preserve"> x 12 (meses)</w:t>
            </w:r>
          </w:p>
          <w:p w:rsidR="000773DA" w:rsidRPr="002E4E7A" w:rsidRDefault="00C05933" w:rsidP="00C05933">
            <w:pPr>
              <w:spacing w:before="120" w:after="120"/>
              <w:ind w:left="19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 xml:space="preserve">        </w:t>
            </w:r>
            <w:r w:rsidRPr="001349AA">
              <w:rPr>
                <w:rFonts w:asciiTheme="minorHAnsi" w:hAnsiTheme="minorHAnsi" w:cstheme="minorHAnsi"/>
                <w:i/>
              </w:rPr>
              <w:t>52 (semanas) x 30 (horas)</w:t>
            </w:r>
          </w:p>
        </w:tc>
      </w:tr>
      <w:tr w:rsidR="000773DA" w:rsidRPr="002E4E7A" w:rsidTr="002F2C14">
        <w:tc>
          <w:tcPr>
            <w:tcW w:w="3437" w:type="dxa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773DA" w:rsidRPr="002E4E7A" w:rsidRDefault="000773DA" w:rsidP="002F2C14">
            <w:pPr>
              <w:spacing w:before="120" w:after="120"/>
              <w:ind w:left="69"/>
              <w:rPr>
                <w:rFonts w:asciiTheme="minorHAnsi" w:hAnsiTheme="minorHAnsi" w:cstheme="minorHAnsi"/>
                <w:b/>
              </w:rPr>
            </w:pPr>
            <w:r w:rsidRPr="002E4E7A">
              <w:rPr>
                <w:rFonts w:asciiTheme="minorHAnsi" w:hAnsiTheme="minorHAnsi" w:cstheme="minorHAnsi"/>
                <w:b/>
              </w:rPr>
              <w:t xml:space="preserve">Subsídio de refeição </w:t>
            </w:r>
          </w:p>
        </w:tc>
        <w:tc>
          <w:tcPr>
            <w:tcW w:w="102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vAlign w:val="center"/>
          </w:tcPr>
          <w:p w:rsidR="000773DA" w:rsidRPr="002E4E7A" w:rsidRDefault="000773DA" w:rsidP="00E7770C">
            <w:pPr>
              <w:numPr>
                <w:ilvl w:val="0"/>
                <w:numId w:val="1"/>
              </w:numPr>
              <w:spacing w:before="120" w:after="120"/>
              <w:ind w:left="194" w:hanging="194"/>
              <w:contextualSpacing/>
              <w:rPr>
                <w:rFonts w:asciiTheme="minorHAnsi" w:hAnsiTheme="minorHAnsi" w:cstheme="minorHAnsi"/>
              </w:rPr>
            </w:pPr>
            <w:r w:rsidRPr="002E4E7A">
              <w:rPr>
                <w:rFonts w:asciiTheme="minorHAnsi" w:hAnsiTheme="minorHAnsi" w:cstheme="minorHAnsi"/>
              </w:rPr>
              <w:t xml:space="preserve">A atribuir nos dias em que o período de formação seja </w:t>
            </w:r>
            <w:r w:rsidRPr="002E4E7A">
              <w:rPr>
                <w:rFonts w:asciiTheme="minorHAnsi" w:hAnsiTheme="minorHAnsi" w:cstheme="minorHAnsi"/>
                <w:b/>
              </w:rPr>
              <w:t>igual ou superior a 3 horas</w:t>
            </w:r>
            <w:r w:rsidRPr="002E4E7A">
              <w:rPr>
                <w:rFonts w:asciiTheme="minorHAnsi" w:hAnsiTheme="minorHAnsi" w:cstheme="minorHAnsi"/>
              </w:rPr>
              <w:t xml:space="preserve">. </w:t>
            </w:r>
          </w:p>
          <w:p w:rsidR="000773DA" w:rsidRPr="002E4E7A" w:rsidRDefault="000773DA" w:rsidP="00E7770C">
            <w:pPr>
              <w:numPr>
                <w:ilvl w:val="0"/>
                <w:numId w:val="1"/>
              </w:numPr>
              <w:spacing w:before="120" w:after="120"/>
              <w:ind w:left="194" w:hanging="194"/>
              <w:contextualSpacing/>
              <w:rPr>
                <w:rFonts w:asciiTheme="minorHAnsi" w:hAnsiTheme="minorHAnsi" w:cstheme="minorHAnsi"/>
              </w:rPr>
            </w:pPr>
            <w:r w:rsidRPr="002E4E7A">
              <w:rPr>
                <w:rFonts w:asciiTheme="minorHAnsi" w:hAnsiTheme="minorHAnsi" w:cstheme="minorHAnsi"/>
              </w:rPr>
              <w:t xml:space="preserve">Em </w:t>
            </w:r>
            <w:r w:rsidRPr="002E4E7A">
              <w:rPr>
                <w:rFonts w:asciiTheme="minorHAnsi" w:hAnsiTheme="minorHAnsi" w:cstheme="minorHAnsi"/>
                <w:b/>
              </w:rPr>
              <w:t>espécie</w:t>
            </w:r>
            <w:r w:rsidRPr="002E4E7A">
              <w:rPr>
                <w:rFonts w:asciiTheme="minorHAnsi" w:hAnsiTheme="minorHAnsi" w:cstheme="minorHAnsi"/>
              </w:rPr>
              <w:t>, quando existe refeitório no local onde decorre a formação.</w:t>
            </w:r>
          </w:p>
        </w:tc>
      </w:tr>
      <w:tr w:rsidR="002A2783" w:rsidRPr="002E4E7A" w:rsidTr="002F2C14">
        <w:tc>
          <w:tcPr>
            <w:tcW w:w="3437" w:type="dxa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2A2783" w:rsidRPr="002E4E7A" w:rsidRDefault="002A2783" w:rsidP="00C13466">
            <w:pPr>
              <w:spacing w:before="120" w:after="120"/>
              <w:ind w:left="69"/>
              <w:rPr>
                <w:rFonts w:asciiTheme="minorHAnsi" w:hAnsiTheme="minorHAnsi" w:cstheme="minorHAnsi"/>
                <w:b/>
              </w:rPr>
            </w:pPr>
            <w:r w:rsidRPr="002E4E7A">
              <w:rPr>
                <w:rFonts w:asciiTheme="minorHAnsi" w:hAnsiTheme="minorHAnsi" w:cstheme="minorHAnsi"/>
                <w:b/>
              </w:rPr>
              <w:t xml:space="preserve">Despesas ou subsídio de transporte </w:t>
            </w:r>
            <w:r w:rsidR="00C1346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02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nil"/>
            </w:tcBorders>
            <w:vAlign w:val="center"/>
          </w:tcPr>
          <w:p w:rsidR="002A2783" w:rsidRPr="002E4E7A" w:rsidRDefault="002A2783" w:rsidP="002A2783">
            <w:pPr>
              <w:numPr>
                <w:ilvl w:val="0"/>
                <w:numId w:val="1"/>
              </w:numPr>
              <w:spacing w:before="120" w:after="120"/>
              <w:ind w:left="193" w:hanging="194"/>
              <w:contextualSpacing/>
              <w:rPr>
                <w:rFonts w:asciiTheme="minorHAnsi" w:hAnsiTheme="minorHAnsi" w:cstheme="minorHAnsi"/>
              </w:rPr>
            </w:pPr>
            <w:r w:rsidRPr="002E4E7A">
              <w:rPr>
                <w:rFonts w:asciiTheme="minorHAnsi" w:hAnsiTheme="minorHAnsi" w:cstheme="minorHAnsi"/>
                <w:b/>
              </w:rPr>
              <w:t>Despesas de transporte</w:t>
            </w:r>
            <w:r w:rsidRPr="002E4E7A">
              <w:rPr>
                <w:rFonts w:asciiTheme="minorHAnsi" w:hAnsiTheme="minorHAnsi" w:cstheme="minorHAnsi"/>
              </w:rPr>
              <w:t xml:space="preserve"> de </w:t>
            </w:r>
            <w:r w:rsidRPr="002E4E7A">
              <w:rPr>
                <w:rFonts w:asciiTheme="minorHAnsi" w:hAnsiTheme="minorHAnsi" w:cstheme="minorHAnsi"/>
                <w:b/>
              </w:rPr>
              <w:t>montante equivalente ao custo das viagens realizadas</w:t>
            </w:r>
            <w:r w:rsidRPr="002E4E7A">
              <w:rPr>
                <w:rFonts w:asciiTheme="minorHAnsi" w:hAnsiTheme="minorHAnsi" w:cstheme="minorHAnsi"/>
              </w:rPr>
              <w:t xml:space="preserve"> em transporte coletivo. </w:t>
            </w:r>
          </w:p>
          <w:p w:rsidR="002A2783" w:rsidRPr="002E4E7A" w:rsidRDefault="002A2783" w:rsidP="002A2783">
            <w:pPr>
              <w:numPr>
                <w:ilvl w:val="0"/>
                <w:numId w:val="1"/>
              </w:numPr>
              <w:spacing w:before="120" w:after="120"/>
              <w:ind w:left="193" w:hanging="194"/>
              <w:contextualSpacing/>
              <w:rPr>
                <w:rFonts w:asciiTheme="minorHAnsi" w:hAnsiTheme="minorHAnsi" w:cstheme="minorHAnsi"/>
              </w:rPr>
            </w:pPr>
            <w:r w:rsidRPr="002E4E7A">
              <w:rPr>
                <w:rFonts w:asciiTheme="minorHAnsi" w:hAnsiTheme="minorHAnsi" w:cstheme="minorHAnsi"/>
                <w:b/>
              </w:rPr>
              <w:t>Subsídio de transporte</w:t>
            </w:r>
            <w:r w:rsidRPr="002E4E7A">
              <w:rPr>
                <w:rFonts w:asciiTheme="minorHAnsi" w:hAnsiTheme="minorHAnsi" w:cstheme="minorHAnsi"/>
              </w:rPr>
              <w:t xml:space="preserve"> até ao </w:t>
            </w:r>
            <w:r w:rsidRPr="002E4E7A">
              <w:rPr>
                <w:rFonts w:asciiTheme="minorHAnsi" w:hAnsiTheme="minorHAnsi" w:cstheme="minorHAnsi"/>
                <w:b/>
              </w:rPr>
              <w:t>limite máximo mensal de 10% do IAS</w:t>
            </w:r>
            <w:r w:rsidRPr="002E4E7A">
              <w:rPr>
                <w:rFonts w:asciiTheme="minorHAnsi" w:hAnsiTheme="minorHAnsi" w:cstheme="minorHAnsi"/>
              </w:rPr>
              <w:t>.</w:t>
            </w:r>
          </w:p>
        </w:tc>
      </w:tr>
      <w:tr w:rsidR="005E66BD" w:rsidRPr="00866929" w:rsidTr="002F2C14">
        <w:tc>
          <w:tcPr>
            <w:tcW w:w="13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E66BD" w:rsidRPr="00866929" w:rsidRDefault="005E66BD" w:rsidP="002F2C14">
            <w:pPr>
              <w:spacing w:before="40" w:after="40"/>
              <w:ind w:left="6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6929">
              <w:rPr>
                <w:rFonts w:asciiTheme="minorHAnsi" w:hAnsiTheme="minorHAnsi" w:cstheme="minorHAnsi"/>
                <w:b/>
                <w:sz w:val="16"/>
                <w:szCs w:val="14"/>
              </w:rPr>
              <w:t>A atribuir mediante a análise da situação particular de cada formando</w:t>
            </w:r>
          </w:p>
        </w:tc>
      </w:tr>
      <w:tr w:rsidR="002A2783" w:rsidRPr="002E4E7A" w:rsidTr="002F2C14">
        <w:tc>
          <w:tcPr>
            <w:tcW w:w="3437" w:type="dxa"/>
            <w:tcBorders>
              <w:top w:val="nil"/>
              <w:left w:val="nil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A2783" w:rsidRPr="002E4E7A" w:rsidRDefault="002A2783" w:rsidP="00C13466">
            <w:pPr>
              <w:spacing w:before="120" w:after="120"/>
              <w:ind w:left="69"/>
              <w:rPr>
                <w:rFonts w:asciiTheme="minorHAnsi" w:hAnsiTheme="minorHAnsi" w:cstheme="minorHAnsi"/>
                <w:b/>
              </w:rPr>
            </w:pPr>
            <w:r w:rsidRPr="002E4E7A">
              <w:rPr>
                <w:rFonts w:asciiTheme="minorHAnsi" w:hAnsiTheme="minorHAnsi" w:cstheme="minorHAnsi"/>
                <w:b/>
              </w:rPr>
              <w:t>Subsídio de acolhimento</w:t>
            </w:r>
            <w:r w:rsidRPr="002E4E7A">
              <w:rPr>
                <w:rFonts w:asciiTheme="minorHAnsi" w:hAnsiTheme="minorHAnsi" w:cstheme="minorHAnsi"/>
                <w:b/>
                <w:vertAlign w:val="superscript"/>
              </w:rPr>
              <w:t xml:space="preserve"> </w:t>
            </w:r>
            <w:r w:rsidR="00C13466">
              <w:rPr>
                <w:rFonts w:asciiTheme="minorHAnsi" w:hAnsiTheme="minorHAnsi" w:cstheme="minorHAnsi"/>
                <w:b/>
                <w:vertAlign w:val="superscript"/>
              </w:rPr>
              <w:t>4</w:t>
            </w:r>
          </w:p>
        </w:tc>
        <w:tc>
          <w:tcPr>
            <w:tcW w:w="10206" w:type="dxa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nil"/>
            </w:tcBorders>
            <w:vAlign w:val="center"/>
          </w:tcPr>
          <w:p w:rsidR="002A2783" w:rsidRPr="002E4E7A" w:rsidRDefault="002A2783" w:rsidP="00A908FD">
            <w:pPr>
              <w:spacing w:before="120" w:after="120"/>
              <w:ind w:left="194"/>
              <w:contextualSpacing/>
              <w:rPr>
                <w:rFonts w:asciiTheme="minorHAnsi" w:hAnsiTheme="minorHAnsi" w:cstheme="minorHAnsi"/>
              </w:rPr>
            </w:pPr>
            <w:r w:rsidRPr="002E4E7A">
              <w:rPr>
                <w:rFonts w:asciiTheme="minorHAnsi" w:hAnsiTheme="minorHAnsi" w:cstheme="minorHAnsi"/>
              </w:rPr>
              <w:t xml:space="preserve">Até ao limite </w:t>
            </w:r>
            <w:r w:rsidRPr="002E4E7A">
              <w:rPr>
                <w:rFonts w:asciiTheme="minorHAnsi" w:hAnsiTheme="minorHAnsi" w:cstheme="minorHAnsi"/>
                <w:b/>
              </w:rPr>
              <w:t>máximo mensal de 50% do IAS</w:t>
            </w:r>
            <w:r w:rsidRPr="002E4E7A">
              <w:rPr>
                <w:rFonts w:asciiTheme="minorHAnsi" w:hAnsiTheme="minorHAnsi" w:cstheme="minorHAnsi"/>
              </w:rPr>
              <w:t>.</w:t>
            </w:r>
          </w:p>
        </w:tc>
      </w:tr>
    </w:tbl>
    <w:p w:rsidR="000773DA" w:rsidRPr="002345E9" w:rsidRDefault="000773DA" w:rsidP="000773DA">
      <w:pPr>
        <w:pStyle w:val="Textodenotaderodap"/>
        <w:ind w:left="717"/>
        <w:rPr>
          <w:rFonts w:asciiTheme="minorHAnsi" w:hAnsiTheme="minorHAnsi" w:cstheme="minorHAnsi"/>
          <w:sz w:val="12"/>
          <w:szCs w:val="16"/>
        </w:rPr>
      </w:pPr>
    </w:p>
    <w:p w:rsidR="00C05933" w:rsidRPr="000F1D9F" w:rsidRDefault="002345E9" w:rsidP="00B21115">
      <w:pPr>
        <w:pStyle w:val="Textodenotaderodap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0F1D9F">
        <w:rPr>
          <w:rFonts w:asciiTheme="minorHAnsi" w:hAnsiTheme="minorHAnsi" w:cstheme="minorHAnsi"/>
          <w:b/>
          <w:sz w:val="16"/>
          <w:szCs w:val="16"/>
        </w:rPr>
        <w:t>Apoio</w:t>
      </w:r>
      <w:r w:rsidRPr="000F1D9F">
        <w:rPr>
          <w:rFonts w:asciiTheme="minorHAnsi" w:hAnsiTheme="minorHAnsi" w:cstheme="minorHAnsi"/>
          <w:sz w:val="16"/>
          <w:szCs w:val="16"/>
        </w:rPr>
        <w:t xml:space="preserve"> </w:t>
      </w:r>
      <w:r w:rsidRPr="000F1D9F">
        <w:rPr>
          <w:rFonts w:asciiTheme="minorHAnsi" w:hAnsiTheme="minorHAnsi" w:cstheme="minorHAnsi"/>
          <w:b/>
          <w:sz w:val="16"/>
          <w:szCs w:val="16"/>
        </w:rPr>
        <w:t>não atribuído a desempregados beneficiários de subsídio de desemprego, de subsídio social de desemprego e ou de rendimento social de inserção</w:t>
      </w:r>
      <w:r w:rsidRPr="000F1D9F">
        <w:rPr>
          <w:rFonts w:asciiTheme="minorHAnsi" w:hAnsiTheme="minorHAnsi" w:cstheme="minorHAnsi"/>
          <w:sz w:val="16"/>
          <w:szCs w:val="16"/>
        </w:rPr>
        <w:t xml:space="preserve"> nos termos do definido no Despacho Normativo n.º 6/2013, de 24 de maio. Nestes casos,</w:t>
      </w:r>
      <w:r w:rsidR="00B21115" w:rsidRPr="000F1D9F">
        <w:rPr>
          <w:rFonts w:asciiTheme="minorHAnsi" w:hAnsiTheme="minorHAnsi" w:cstheme="minorHAnsi"/>
          <w:sz w:val="16"/>
          <w:szCs w:val="16"/>
        </w:rPr>
        <w:t xml:space="preserve"> o</w:t>
      </w:r>
      <w:r w:rsidRPr="000F1D9F">
        <w:rPr>
          <w:rFonts w:asciiTheme="minorHAnsi" w:hAnsiTheme="minorHAnsi" w:cstheme="minorHAnsi"/>
          <w:sz w:val="16"/>
          <w:szCs w:val="16"/>
        </w:rPr>
        <w:t xml:space="preserve"> </w:t>
      </w:r>
      <w:r w:rsidR="00B21115" w:rsidRPr="000F1D9F">
        <w:rPr>
          <w:rFonts w:asciiTheme="minorHAnsi" w:hAnsiTheme="minorHAnsi" w:cstheme="minorHAnsi"/>
          <w:sz w:val="16"/>
          <w:szCs w:val="16"/>
        </w:rPr>
        <w:t xml:space="preserve">limite máximo do total de apoios sociais (70% do IAS) </w:t>
      </w:r>
      <w:r w:rsidRPr="000F1D9F">
        <w:rPr>
          <w:rFonts w:asciiTheme="minorHAnsi" w:hAnsiTheme="minorHAnsi" w:cstheme="minorHAnsi"/>
          <w:sz w:val="16"/>
          <w:szCs w:val="16"/>
        </w:rPr>
        <w:t>apenas</w:t>
      </w:r>
      <w:r w:rsidR="00B21115" w:rsidRPr="000F1D9F">
        <w:rPr>
          <w:rFonts w:asciiTheme="minorHAnsi" w:hAnsiTheme="minorHAnsi" w:cstheme="minorHAnsi"/>
          <w:sz w:val="16"/>
          <w:szCs w:val="16"/>
        </w:rPr>
        <w:t xml:space="preserve"> considera o subsídio de refeição, o subsídio de transporte e despesas de acolhimento, quando aos mesmos haja direito, e observando os respetivos limites máximos.</w:t>
      </w:r>
    </w:p>
    <w:p w:rsidR="000773DA" w:rsidRPr="00C13466" w:rsidRDefault="000773DA" w:rsidP="000773DA">
      <w:pPr>
        <w:pStyle w:val="Textodenotaderodap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C13466">
        <w:rPr>
          <w:rFonts w:asciiTheme="minorHAnsi" w:hAnsiTheme="minorHAnsi" w:cstheme="minorHAnsi"/>
          <w:sz w:val="16"/>
          <w:szCs w:val="16"/>
        </w:rPr>
        <w:t xml:space="preserve">Legenda: </w:t>
      </w:r>
      <w:proofErr w:type="spellStart"/>
      <w:r w:rsidRPr="00C13466">
        <w:rPr>
          <w:rFonts w:asciiTheme="minorHAnsi" w:hAnsiTheme="minorHAnsi" w:cstheme="minorHAnsi"/>
          <w:b/>
          <w:sz w:val="16"/>
          <w:szCs w:val="16"/>
        </w:rPr>
        <w:t>Vbp</w:t>
      </w:r>
      <w:proofErr w:type="spellEnd"/>
      <w:r w:rsidRPr="00C13466">
        <w:rPr>
          <w:rFonts w:asciiTheme="minorHAnsi" w:hAnsiTheme="minorHAnsi" w:cstheme="minorHAnsi"/>
          <w:sz w:val="16"/>
          <w:szCs w:val="16"/>
        </w:rPr>
        <w:t xml:space="preserve"> = valor mensal da bolsa de formação a pagar; </w:t>
      </w:r>
      <w:proofErr w:type="spellStart"/>
      <w:r w:rsidRPr="00C13466">
        <w:rPr>
          <w:rFonts w:asciiTheme="minorHAnsi" w:hAnsiTheme="minorHAnsi" w:cstheme="minorHAnsi"/>
          <w:b/>
          <w:sz w:val="16"/>
          <w:szCs w:val="16"/>
        </w:rPr>
        <w:t>Vb</w:t>
      </w:r>
      <w:proofErr w:type="spellEnd"/>
      <w:r w:rsidRPr="00C13466">
        <w:rPr>
          <w:rFonts w:asciiTheme="minorHAnsi" w:hAnsiTheme="minorHAnsi" w:cstheme="minorHAnsi"/>
          <w:sz w:val="16"/>
          <w:szCs w:val="16"/>
        </w:rPr>
        <w:t xml:space="preserve"> = valor da bolsa (35% do IAS); </w:t>
      </w:r>
      <w:proofErr w:type="spellStart"/>
      <w:r w:rsidRPr="00C13466">
        <w:rPr>
          <w:rFonts w:asciiTheme="minorHAnsi" w:hAnsiTheme="minorHAnsi" w:cstheme="minorHAnsi"/>
          <w:b/>
          <w:sz w:val="16"/>
          <w:szCs w:val="16"/>
        </w:rPr>
        <w:t>Nhf</w:t>
      </w:r>
      <w:proofErr w:type="spellEnd"/>
      <w:r w:rsidRPr="00C13466">
        <w:rPr>
          <w:rFonts w:asciiTheme="minorHAnsi" w:hAnsiTheme="minorHAnsi" w:cstheme="minorHAnsi"/>
          <w:sz w:val="16"/>
          <w:szCs w:val="16"/>
        </w:rPr>
        <w:t xml:space="preserve"> = número de horas de formação frequentadas pelo formando.</w:t>
      </w:r>
    </w:p>
    <w:p w:rsidR="00C13466" w:rsidRPr="00C13466" w:rsidRDefault="00C13466" w:rsidP="00C13466">
      <w:pPr>
        <w:pStyle w:val="Textodenotaderodap"/>
        <w:numPr>
          <w:ilvl w:val="0"/>
          <w:numId w:val="2"/>
        </w:numPr>
        <w:rPr>
          <w:rFonts w:asciiTheme="minorHAnsi" w:hAnsiTheme="minorHAnsi" w:cstheme="minorHAnsi"/>
          <w:b/>
          <w:sz w:val="16"/>
          <w:szCs w:val="16"/>
        </w:rPr>
      </w:pPr>
      <w:r w:rsidRPr="00C13466">
        <w:rPr>
          <w:rFonts w:asciiTheme="minorHAnsi" w:hAnsiTheme="minorHAnsi" w:cstheme="minorHAnsi"/>
          <w:sz w:val="16"/>
          <w:szCs w:val="16"/>
        </w:rPr>
        <w:t xml:space="preserve">Em </w:t>
      </w:r>
      <w:r w:rsidRPr="00C13466">
        <w:rPr>
          <w:rFonts w:asciiTheme="minorHAnsi" w:hAnsiTheme="minorHAnsi" w:cstheme="minorHAnsi"/>
          <w:b/>
          <w:sz w:val="16"/>
          <w:szCs w:val="16"/>
        </w:rPr>
        <w:t>alternativa ao pagamento das despesas de transporte</w:t>
      </w:r>
      <w:r w:rsidRPr="00C13466">
        <w:rPr>
          <w:rFonts w:asciiTheme="minorHAnsi" w:hAnsiTheme="minorHAnsi" w:cstheme="minorHAnsi"/>
          <w:sz w:val="16"/>
          <w:szCs w:val="16"/>
        </w:rPr>
        <w:t xml:space="preserve">, pode ser atribuído um </w:t>
      </w:r>
      <w:r w:rsidRPr="00C13466">
        <w:rPr>
          <w:rFonts w:asciiTheme="minorHAnsi" w:hAnsiTheme="minorHAnsi" w:cstheme="minorHAnsi"/>
          <w:b/>
          <w:sz w:val="16"/>
          <w:szCs w:val="16"/>
        </w:rPr>
        <w:t>subsídio</w:t>
      </w:r>
      <w:r w:rsidRPr="00C13466">
        <w:rPr>
          <w:rFonts w:asciiTheme="minorHAnsi" w:hAnsiTheme="minorHAnsi" w:cstheme="minorHAnsi"/>
          <w:sz w:val="16"/>
          <w:szCs w:val="16"/>
        </w:rPr>
        <w:t xml:space="preserve"> </w:t>
      </w:r>
      <w:r w:rsidRPr="00C13466">
        <w:rPr>
          <w:rFonts w:asciiTheme="minorHAnsi" w:hAnsiTheme="minorHAnsi" w:cstheme="minorHAnsi"/>
          <w:b/>
          <w:sz w:val="16"/>
          <w:szCs w:val="16"/>
        </w:rPr>
        <w:t xml:space="preserve">até ao limite máximo mensal de 10% do IAS, nas seguintes situações, </w:t>
      </w:r>
      <w:r w:rsidRPr="00C13466">
        <w:rPr>
          <w:rFonts w:asciiTheme="minorHAnsi" w:hAnsiTheme="minorHAnsi" w:cstheme="minorHAnsi"/>
          <w:sz w:val="16"/>
          <w:szCs w:val="16"/>
        </w:rPr>
        <w:t>mediante requerimento do interessado:</w:t>
      </w:r>
    </w:p>
    <w:p w:rsidR="00C13466" w:rsidRPr="00C13466" w:rsidRDefault="00C13466" w:rsidP="00C13466">
      <w:pPr>
        <w:pStyle w:val="PargrafodaLista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C13466">
        <w:rPr>
          <w:rFonts w:asciiTheme="minorHAnsi" w:hAnsiTheme="minorHAnsi" w:cstheme="minorHAnsi"/>
          <w:b/>
          <w:bCs/>
          <w:sz w:val="16"/>
          <w:szCs w:val="16"/>
        </w:rPr>
        <w:t>na impossibilidade de utilização de transporte público coletivo</w:t>
      </w:r>
      <w:r w:rsidRPr="00C13466">
        <w:rPr>
          <w:rFonts w:asciiTheme="minorHAnsi" w:hAnsiTheme="minorHAnsi" w:cstheme="minorHAnsi"/>
          <w:sz w:val="16"/>
          <w:szCs w:val="16"/>
        </w:rPr>
        <w:t>, por exemplo,</w:t>
      </w:r>
      <w:r w:rsidRPr="00C13466">
        <w:rPr>
          <w:rFonts w:asciiTheme="minorHAnsi" w:hAnsiTheme="minorHAnsi" w:cstheme="minorHAnsi"/>
          <w:b/>
          <w:bCs/>
          <w:sz w:val="16"/>
          <w:szCs w:val="16"/>
        </w:rPr>
        <w:t xml:space="preserve">  </w:t>
      </w:r>
      <w:r w:rsidRPr="00C13466">
        <w:rPr>
          <w:rFonts w:asciiTheme="minorHAnsi" w:hAnsiTheme="minorHAnsi" w:cstheme="minorHAnsi"/>
          <w:sz w:val="16"/>
          <w:szCs w:val="16"/>
        </w:rPr>
        <w:t xml:space="preserve">quando se verifique a sua </w:t>
      </w:r>
      <w:r w:rsidRPr="00C13466">
        <w:rPr>
          <w:rFonts w:asciiTheme="minorHAnsi" w:hAnsiTheme="minorHAnsi" w:cstheme="minorHAnsi"/>
          <w:b/>
          <w:bCs/>
          <w:sz w:val="16"/>
          <w:szCs w:val="16"/>
        </w:rPr>
        <w:t>inexistência</w:t>
      </w:r>
      <w:r w:rsidRPr="00C13466">
        <w:rPr>
          <w:rFonts w:asciiTheme="minorHAnsi" w:hAnsiTheme="minorHAnsi" w:cstheme="minorHAnsi"/>
          <w:sz w:val="16"/>
          <w:szCs w:val="16"/>
        </w:rPr>
        <w:t xml:space="preserve"> ou quando os horários praticados sejam </w:t>
      </w:r>
      <w:r w:rsidRPr="00C13466">
        <w:rPr>
          <w:rFonts w:asciiTheme="minorHAnsi" w:hAnsiTheme="minorHAnsi" w:cstheme="minorHAnsi"/>
          <w:b/>
          <w:bCs/>
          <w:sz w:val="16"/>
          <w:szCs w:val="16"/>
        </w:rPr>
        <w:t>incompatíveis</w:t>
      </w:r>
      <w:r w:rsidRPr="00C13466">
        <w:rPr>
          <w:rFonts w:asciiTheme="minorHAnsi" w:hAnsiTheme="minorHAnsi" w:cstheme="minorHAnsi"/>
          <w:sz w:val="16"/>
          <w:szCs w:val="16"/>
        </w:rPr>
        <w:t xml:space="preserve"> com o horário da formação, </w:t>
      </w:r>
      <w:r w:rsidRPr="00C13466">
        <w:rPr>
          <w:rFonts w:asciiTheme="minorHAnsi" w:hAnsiTheme="minorHAnsi" w:cstheme="minorHAnsi"/>
          <w:b/>
          <w:sz w:val="16"/>
          <w:szCs w:val="16"/>
        </w:rPr>
        <w:t>devendo ser considerado o tempo despendido</w:t>
      </w:r>
      <w:bookmarkStart w:id="0" w:name="_GoBack"/>
      <w:bookmarkEnd w:id="0"/>
      <w:r w:rsidRPr="00C13466">
        <w:rPr>
          <w:rFonts w:asciiTheme="minorHAnsi" w:hAnsiTheme="minorHAnsi" w:cstheme="minorHAnsi"/>
          <w:b/>
          <w:sz w:val="16"/>
          <w:szCs w:val="16"/>
        </w:rPr>
        <w:t xml:space="preserve"> com o transporte de menores a cargo</w:t>
      </w:r>
      <w:r w:rsidRPr="00C13466">
        <w:rPr>
          <w:rFonts w:asciiTheme="minorHAnsi" w:hAnsiTheme="minorHAnsi" w:cstheme="minorHAnsi"/>
          <w:sz w:val="16"/>
          <w:szCs w:val="16"/>
        </w:rPr>
        <w:t>;</w:t>
      </w:r>
    </w:p>
    <w:p w:rsidR="00866929" w:rsidRPr="00C13466" w:rsidRDefault="00C13466" w:rsidP="00C13466">
      <w:pPr>
        <w:pStyle w:val="PargrafodaLista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C13466">
        <w:rPr>
          <w:rFonts w:asciiTheme="minorHAnsi" w:hAnsiTheme="minorHAnsi" w:cstheme="minorHAnsi"/>
          <w:bCs/>
          <w:sz w:val="16"/>
          <w:szCs w:val="16"/>
        </w:rPr>
        <w:t>quando</w:t>
      </w:r>
      <w:proofErr w:type="gramEnd"/>
      <w:r w:rsidRPr="00C13466">
        <w:rPr>
          <w:rFonts w:asciiTheme="minorHAnsi" w:hAnsiTheme="minorHAnsi" w:cstheme="minorHAnsi"/>
          <w:sz w:val="16"/>
          <w:szCs w:val="16"/>
        </w:rPr>
        <w:t xml:space="preserve"> o </w:t>
      </w:r>
      <w:r w:rsidRPr="00C13466">
        <w:rPr>
          <w:rFonts w:asciiTheme="minorHAnsi" w:hAnsiTheme="minorHAnsi" w:cstheme="minorHAnsi"/>
          <w:b/>
          <w:bCs/>
          <w:sz w:val="16"/>
          <w:szCs w:val="16"/>
        </w:rPr>
        <w:t>valor do subsídio requerido for inferior, pelo menos em 10%, ao custo com o</w:t>
      </w:r>
      <w:r w:rsidRPr="00C13466">
        <w:rPr>
          <w:rFonts w:asciiTheme="minorHAnsi" w:hAnsiTheme="minorHAnsi" w:cstheme="minorHAnsi"/>
          <w:sz w:val="16"/>
          <w:szCs w:val="16"/>
        </w:rPr>
        <w:t xml:space="preserve"> </w:t>
      </w:r>
      <w:r w:rsidRPr="00C13466">
        <w:rPr>
          <w:rFonts w:asciiTheme="minorHAnsi" w:hAnsiTheme="minorHAnsi" w:cstheme="minorHAnsi"/>
          <w:b/>
          <w:bCs/>
          <w:sz w:val="16"/>
          <w:szCs w:val="16"/>
        </w:rPr>
        <w:t>transporte público coletivo</w:t>
      </w:r>
      <w:r w:rsidRPr="00C13466">
        <w:rPr>
          <w:rFonts w:asciiTheme="minorHAnsi" w:hAnsiTheme="minorHAnsi" w:cstheme="minorHAnsi"/>
          <w:sz w:val="16"/>
          <w:szCs w:val="16"/>
        </w:rPr>
        <w:t>, tomando como referência o valor dos títulos de transporte ou do</w:t>
      </w:r>
      <w:r w:rsidRPr="00C13466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C13466">
        <w:rPr>
          <w:rFonts w:asciiTheme="minorHAnsi" w:hAnsiTheme="minorHAnsi" w:cstheme="minorHAnsi"/>
          <w:sz w:val="16"/>
          <w:szCs w:val="16"/>
        </w:rPr>
        <w:t>passe social quando este exista, e, cumulativamente, o tempo despendido nas viagens diárias de ida e volta seja superior a 120 minutos, sem considerar os eventuais tempos de ligação entre transportes</w:t>
      </w:r>
      <w:r w:rsidR="00866929" w:rsidRPr="00C13466">
        <w:rPr>
          <w:rFonts w:ascii="ConduitITC TT" w:hAnsi="ConduitITC TT"/>
          <w:sz w:val="16"/>
          <w:szCs w:val="16"/>
        </w:rPr>
        <w:t>.</w:t>
      </w:r>
    </w:p>
    <w:p w:rsidR="00866929" w:rsidRPr="00C13466" w:rsidRDefault="00866929" w:rsidP="0086692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16"/>
          <w:szCs w:val="16"/>
        </w:rPr>
      </w:pPr>
      <w:r w:rsidRPr="00C13466">
        <w:rPr>
          <w:rFonts w:ascii="Calibri" w:hAnsi="Calibri" w:cs="Calibri"/>
          <w:sz w:val="16"/>
          <w:szCs w:val="16"/>
        </w:rPr>
        <w:t xml:space="preserve">Uma vez que as despesas que decorram da situação identificada na alínea b) </w:t>
      </w:r>
      <w:r w:rsidRPr="00C13466">
        <w:rPr>
          <w:rFonts w:ascii="Calibri" w:hAnsi="Calibri" w:cs="Calibri"/>
          <w:b/>
          <w:sz w:val="16"/>
          <w:szCs w:val="16"/>
        </w:rPr>
        <w:t>apenas poderão ser equacionadas num quadro de exceção</w:t>
      </w:r>
      <w:r w:rsidRPr="00C13466">
        <w:rPr>
          <w:rFonts w:ascii="Calibri" w:hAnsi="Calibri" w:cs="Calibri"/>
          <w:sz w:val="16"/>
          <w:szCs w:val="16"/>
        </w:rPr>
        <w:t>, devidamente fundamentado, casuisticamente, e mediante autorização prévia do IEFP, I.P. Para estas situações deverá ser instruído um processo, por formando, com todos os elementos comprovativos, para submeter a análise e decisão.</w:t>
      </w:r>
    </w:p>
    <w:p w:rsidR="002A2783" w:rsidRPr="00C13466" w:rsidRDefault="002A2783" w:rsidP="004A0C64">
      <w:pPr>
        <w:pStyle w:val="Textodenotaderodap"/>
        <w:ind w:left="709"/>
        <w:rPr>
          <w:rFonts w:asciiTheme="minorHAnsi" w:hAnsiTheme="minorHAnsi" w:cstheme="minorHAnsi"/>
          <w:sz w:val="16"/>
          <w:szCs w:val="16"/>
        </w:rPr>
      </w:pPr>
      <w:r w:rsidRPr="00C13466">
        <w:rPr>
          <w:rFonts w:asciiTheme="minorHAnsi" w:hAnsiTheme="minorHAnsi" w:cstheme="minorHAnsi"/>
          <w:sz w:val="16"/>
          <w:szCs w:val="16"/>
        </w:rPr>
        <w:t xml:space="preserve">A </w:t>
      </w:r>
      <w:r w:rsidRPr="00C13466">
        <w:rPr>
          <w:rFonts w:asciiTheme="minorHAnsi" w:hAnsiTheme="minorHAnsi" w:cstheme="minorHAnsi"/>
          <w:b/>
          <w:sz w:val="16"/>
          <w:szCs w:val="16"/>
        </w:rPr>
        <w:t>título excecional</w:t>
      </w:r>
      <w:r w:rsidR="00866929" w:rsidRPr="00C13466">
        <w:rPr>
          <w:rFonts w:asciiTheme="minorHAnsi" w:hAnsiTheme="minorHAnsi" w:cstheme="minorHAnsi"/>
          <w:sz w:val="16"/>
          <w:szCs w:val="16"/>
        </w:rPr>
        <w:t xml:space="preserve">, quando se confirmem as condições previstas no n.º 20 do artigo 12.º do Despacho </w:t>
      </w:r>
      <w:r w:rsidR="004A0C64" w:rsidRPr="00C13466">
        <w:rPr>
          <w:rFonts w:asciiTheme="minorHAnsi" w:hAnsiTheme="minorHAnsi" w:cstheme="minorHAnsi"/>
          <w:sz w:val="16"/>
          <w:szCs w:val="16"/>
        </w:rPr>
        <w:t xml:space="preserve">normativo n.º 4/2008, de 24 de janeiro, com as respetivas </w:t>
      </w:r>
      <w:r w:rsidR="001E3722" w:rsidRPr="00C13466">
        <w:rPr>
          <w:rFonts w:asciiTheme="minorHAnsi" w:hAnsiTheme="minorHAnsi" w:cstheme="minorHAnsi"/>
          <w:sz w:val="16"/>
          <w:szCs w:val="16"/>
        </w:rPr>
        <w:t>alterações, o</w:t>
      </w:r>
      <w:r w:rsidR="00866929" w:rsidRPr="00C13466">
        <w:rPr>
          <w:rFonts w:asciiTheme="minorHAnsi" w:hAnsiTheme="minorHAnsi" w:cstheme="minorHAnsi"/>
          <w:sz w:val="16"/>
          <w:szCs w:val="16"/>
        </w:rPr>
        <w:t xml:space="preserve"> valor do </w:t>
      </w:r>
      <w:r w:rsidRPr="00C13466">
        <w:rPr>
          <w:rFonts w:asciiTheme="minorHAnsi" w:hAnsiTheme="minorHAnsi" w:cstheme="minorHAnsi"/>
          <w:sz w:val="16"/>
          <w:szCs w:val="16"/>
        </w:rPr>
        <w:t xml:space="preserve">subsídio de transporte </w:t>
      </w:r>
      <w:r w:rsidR="00866929" w:rsidRPr="00C13466">
        <w:rPr>
          <w:rFonts w:asciiTheme="minorHAnsi" w:hAnsiTheme="minorHAnsi" w:cstheme="minorHAnsi"/>
          <w:sz w:val="16"/>
          <w:szCs w:val="16"/>
        </w:rPr>
        <w:t xml:space="preserve">pode atingir </w:t>
      </w:r>
      <w:r w:rsidRPr="00C13466">
        <w:rPr>
          <w:rFonts w:asciiTheme="minorHAnsi" w:hAnsiTheme="minorHAnsi" w:cstheme="minorHAnsi"/>
          <w:sz w:val="16"/>
          <w:szCs w:val="16"/>
        </w:rPr>
        <w:t>o valor máximo de 12,5% do IAS</w:t>
      </w:r>
      <w:r w:rsidR="008E1D7D" w:rsidRPr="00C13466">
        <w:rPr>
          <w:rFonts w:asciiTheme="minorHAnsi" w:hAnsiTheme="minorHAnsi" w:cstheme="minorHAnsi"/>
          <w:sz w:val="16"/>
          <w:szCs w:val="16"/>
        </w:rPr>
        <w:t>,</w:t>
      </w:r>
      <w:r w:rsidRPr="00C13466">
        <w:rPr>
          <w:rFonts w:asciiTheme="minorHAnsi" w:hAnsiTheme="minorHAnsi" w:cstheme="minorHAnsi"/>
          <w:sz w:val="16"/>
          <w:szCs w:val="16"/>
        </w:rPr>
        <w:t xml:space="preserve"> mediante autorização prévia.</w:t>
      </w:r>
    </w:p>
    <w:p w:rsidR="000773DA" w:rsidRPr="00735901" w:rsidRDefault="000773DA" w:rsidP="000773DA">
      <w:pPr>
        <w:pStyle w:val="Textodenotaderodap"/>
        <w:numPr>
          <w:ilvl w:val="0"/>
          <w:numId w:val="2"/>
        </w:numPr>
        <w:rPr>
          <w:rFonts w:asciiTheme="minorHAnsi" w:hAnsiTheme="minorHAnsi" w:cstheme="minorHAnsi"/>
          <w:sz w:val="16"/>
          <w:szCs w:val="16"/>
        </w:rPr>
      </w:pPr>
      <w:r w:rsidRPr="00C13466">
        <w:rPr>
          <w:rFonts w:asciiTheme="minorHAnsi" w:hAnsiTheme="minorHAnsi" w:cstheme="minorHAnsi"/>
          <w:sz w:val="16"/>
          <w:szCs w:val="16"/>
        </w:rPr>
        <w:t>Atribuível quando</w:t>
      </w:r>
      <w:r w:rsidRPr="00735901">
        <w:rPr>
          <w:rFonts w:asciiTheme="minorHAnsi" w:hAnsiTheme="minorHAnsi" w:cstheme="minorHAnsi"/>
          <w:sz w:val="16"/>
          <w:szCs w:val="16"/>
        </w:rPr>
        <w:t xml:space="preserve"> os formandos comprovem que, por motivos de frequência da formação, necessitam de confiar a terceiros filhos menores e adultos dependentes.</w:t>
      </w:r>
      <w:r w:rsidR="0059488C" w:rsidRPr="00735901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0773DA" w:rsidRPr="00735901" w:rsidSect="002F2C14">
      <w:headerReference w:type="default" r:id="rId9"/>
      <w:footerReference w:type="default" r:id="rId10"/>
      <w:pgSz w:w="16838" w:h="11906" w:orient="landscape"/>
      <w:pgMar w:top="1123" w:right="1417" w:bottom="993" w:left="1417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74" w:rsidRDefault="00AF4074" w:rsidP="002A2783">
      <w:r>
        <w:separator/>
      </w:r>
    </w:p>
  </w:endnote>
  <w:endnote w:type="continuationSeparator" w:id="0">
    <w:p w:rsidR="00AF4074" w:rsidRDefault="00AF4074" w:rsidP="002A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98" w:type="dxa"/>
      <w:tblInd w:w="94" w:type="dxa"/>
      <w:tblBorders>
        <w:top w:val="single" w:sz="2" w:space="0" w:color="auto"/>
        <w:bottom w:val="single" w:sz="2" w:space="0" w:color="auto"/>
      </w:tblBorders>
      <w:shd w:val="clear" w:color="auto" w:fill="DBE5F1" w:themeFill="accent1" w:themeFillTint="33"/>
      <w:tblLayout w:type="fixed"/>
      <w:tblLook w:val="01E0" w:firstRow="1" w:lastRow="1" w:firstColumn="1" w:lastColumn="1" w:noHBand="0" w:noVBand="0"/>
    </w:tblPr>
    <w:tblGrid>
      <w:gridCol w:w="13339"/>
      <w:gridCol w:w="659"/>
    </w:tblGrid>
    <w:tr w:rsidR="00BD45E6" w:rsidRPr="00F63FB8" w:rsidTr="00E67A78">
      <w:trPr>
        <w:trHeight w:val="227"/>
      </w:trPr>
      <w:tc>
        <w:tcPr>
          <w:tcW w:w="13339" w:type="dxa"/>
          <w:tcBorders>
            <w:top w:val="dotted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BD45E6" w:rsidRPr="00F63FB8" w:rsidRDefault="00E67A78" w:rsidP="00163C15">
          <w:pPr>
            <w:pStyle w:val="Rodap"/>
            <w:rPr>
              <w:rFonts w:asciiTheme="minorHAnsi" w:hAnsiTheme="minorHAnsi" w:cstheme="minorHAnsi"/>
              <w:sz w:val="16"/>
              <w:szCs w:val="16"/>
            </w:rPr>
          </w:pPr>
          <w:r w:rsidRPr="00F63FB8">
            <w:rPr>
              <w:rFonts w:asciiTheme="minorHAnsi" w:hAnsiTheme="minorHAnsi" w:cstheme="minorHAnsi"/>
              <w:sz w:val="16"/>
              <w:szCs w:val="16"/>
            </w:rPr>
            <w:t xml:space="preserve">Vida Ativa </w:t>
          </w:r>
          <w:r>
            <w:rPr>
              <w:rFonts w:asciiTheme="minorHAnsi" w:hAnsiTheme="minorHAnsi" w:cstheme="minorHAnsi"/>
              <w:sz w:val="16"/>
              <w:szCs w:val="16"/>
            </w:rPr>
            <w:t>|</w:t>
          </w:r>
          <w:r w:rsidR="00BD45E6" w:rsidRPr="00F63FB8">
            <w:rPr>
              <w:rFonts w:asciiTheme="minorHAnsi" w:hAnsiTheme="minorHAnsi" w:cstheme="minorHAnsi"/>
              <w:sz w:val="16"/>
              <w:szCs w:val="16"/>
            </w:rPr>
            <w:t xml:space="preserve"> Regulamento Específico</w:t>
          </w:r>
          <w:r w:rsidR="00BD45E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| Mapa de apoios sociais</w:t>
          </w:r>
        </w:p>
      </w:tc>
      <w:tc>
        <w:tcPr>
          <w:tcW w:w="659" w:type="dxa"/>
          <w:tcBorders>
            <w:top w:val="dotted" w:sz="4" w:space="0" w:color="auto"/>
            <w:left w:val="single" w:sz="4" w:space="0" w:color="auto"/>
            <w:bottom w:val="nil"/>
          </w:tcBorders>
          <w:shd w:val="clear" w:color="auto" w:fill="auto"/>
          <w:vAlign w:val="center"/>
        </w:tcPr>
        <w:p w:rsidR="00BD45E6" w:rsidRPr="00F63FB8" w:rsidRDefault="00D563AF" w:rsidP="00163C15">
          <w:pPr>
            <w:pStyle w:val="Rodap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BD45E6"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instrText xml:space="preserve"> PAGE </w:instrText>
          </w:r>
          <w:r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0F1D9F">
            <w:rPr>
              <w:rStyle w:val="Nmerodepgina"/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="00BD45E6"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>/</w:t>
          </w:r>
          <w:r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BD45E6"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instrText xml:space="preserve"> NUMPAGES </w:instrText>
          </w:r>
          <w:r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0F1D9F">
            <w:rPr>
              <w:rStyle w:val="Nmerodepgina"/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Pr="00F63FB8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:rsidR="00BD45E6" w:rsidRDefault="00BD45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74" w:rsidRDefault="00AF4074" w:rsidP="002A2783">
      <w:r>
        <w:separator/>
      </w:r>
    </w:p>
  </w:footnote>
  <w:footnote w:type="continuationSeparator" w:id="0">
    <w:p w:rsidR="00AF4074" w:rsidRDefault="00AF4074" w:rsidP="002A2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83" w:rsidRDefault="002A2783" w:rsidP="002A2783">
    <w:r>
      <w:rPr>
        <w:noProof/>
      </w:rPr>
      <w:drawing>
        <wp:inline distT="0" distB="0" distL="0" distR="0" wp14:anchorId="6256AD50" wp14:editId="3243C435">
          <wp:extent cx="3400425" cy="428625"/>
          <wp:effectExtent l="0" t="0" r="9525" b="9525"/>
          <wp:docPr id="4" name="Imagem 4" descr="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783" w:rsidRDefault="002A2783" w:rsidP="005E66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194A"/>
    <w:multiLevelType w:val="hybridMultilevel"/>
    <w:tmpl w:val="DC2635E8"/>
    <w:lvl w:ilvl="0" w:tplc="93CA11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B06411"/>
    <w:multiLevelType w:val="hybridMultilevel"/>
    <w:tmpl w:val="AC2EFCC2"/>
    <w:lvl w:ilvl="0" w:tplc="4F12C9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F05F1"/>
    <w:multiLevelType w:val="hybridMultilevel"/>
    <w:tmpl w:val="6D8ABC1C"/>
    <w:lvl w:ilvl="0" w:tplc="3208AD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12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65B8177B"/>
    <w:multiLevelType w:val="hybridMultilevel"/>
    <w:tmpl w:val="3B28EB12"/>
    <w:lvl w:ilvl="0" w:tplc="900A3460">
      <w:start w:val="1"/>
      <w:numFmt w:val="decimal"/>
      <w:lvlText w:val="%1"/>
      <w:lvlJc w:val="left"/>
      <w:pPr>
        <w:ind w:left="717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66E47310"/>
    <w:multiLevelType w:val="hybridMultilevel"/>
    <w:tmpl w:val="063EB55C"/>
    <w:lvl w:ilvl="0" w:tplc="21A07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16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D9084D"/>
    <w:multiLevelType w:val="hybridMultilevel"/>
    <w:tmpl w:val="342A80CA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32B19F7"/>
    <w:multiLevelType w:val="hybridMultilevel"/>
    <w:tmpl w:val="089EDE52"/>
    <w:lvl w:ilvl="0" w:tplc="878EF1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783"/>
    <w:rsid w:val="00016971"/>
    <w:rsid w:val="000773DA"/>
    <w:rsid w:val="000F1D9F"/>
    <w:rsid w:val="00130421"/>
    <w:rsid w:val="001349AA"/>
    <w:rsid w:val="001671D3"/>
    <w:rsid w:val="0017787C"/>
    <w:rsid w:val="001E3722"/>
    <w:rsid w:val="002345E9"/>
    <w:rsid w:val="002A2783"/>
    <w:rsid w:val="002E4E7A"/>
    <w:rsid w:val="002F2C14"/>
    <w:rsid w:val="004A0C64"/>
    <w:rsid w:val="004B16D4"/>
    <w:rsid w:val="0059488C"/>
    <w:rsid w:val="005E66BD"/>
    <w:rsid w:val="00733E5F"/>
    <w:rsid w:val="00735901"/>
    <w:rsid w:val="00765E03"/>
    <w:rsid w:val="00842B9F"/>
    <w:rsid w:val="00866929"/>
    <w:rsid w:val="00874640"/>
    <w:rsid w:val="008E1D7D"/>
    <w:rsid w:val="008E59E6"/>
    <w:rsid w:val="009D26E1"/>
    <w:rsid w:val="00A771D6"/>
    <w:rsid w:val="00AF4074"/>
    <w:rsid w:val="00B21115"/>
    <w:rsid w:val="00BD45E6"/>
    <w:rsid w:val="00C05933"/>
    <w:rsid w:val="00C13466"/>
    <w:rsid w:val="00CD102E"/>
    <w:rsid w:val="00D563AF"/>
    <w:rsid w:val="00E60C2A"/>
    <w:rsid w:val="00E67A78"/>
    <w:rsid w:val="00E718DD"/>
    <w:rsid w:val="00F17A14"/>
    <w:rsid w:val="00F76CDF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8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rsid w:val="002A2783"/>
    <w:pPr>
      <w:ind w:left="357"/>
      <w:jc w:val="both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2A2783"/>
    <w:rPr>
      <w:rFonts w:ascii="Arial" w:eastAsia="Times New Roman" w:hAnsi="Arial" w:cs="Times New Roman"/>
      <w:sz w:val="20"/>
      <w:szCs w:val="20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59"/>
    <w:rsid w:val="002A2783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2A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A278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2783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2A27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2783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A27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2783"/>
    <w:rPr>
      <w:rFonts w:ascii="Arial" w:eastAsia="Times New Roman" w:hAnsi="Arial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BD45E6"/>
  </w:style>
  <w:style w:type="character" w:styleId="Refdenotaderodap">
    <w:name w:val="footnote reference"/>
    <w:basedOn w:val="Tipodeletrapredefinidodopargrafo"/>
    <w:rsid w:val="005E66B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13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8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rsid w:val="002A2783"/>
    <w:pPr>
      <w:ind w:left="357"/>
      <w:jc w:val="both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2A2783"/>
    <w:rPr>
      <w:rFonts w:ascii="Arial" w:eastAsia="Times New Roman" w:hAnsi="Arial" w:cs="Times New Roman"/>
      <w:sz w:val="20"/>
      <w:szCs w:val="20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59"/>
    <w:rsid w:val="002A2783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2A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A278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A2783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2A27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2783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A27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A2783"/>
    <w:rPr>
      <w:rFonts w:ascii="Arial" w:eastAsia="Times New Roman" w:hAnsi="Arial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BD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Sousa Bernardo</dc:creator>
  <cp:keywords/>
  <dc:description/>
  <cp:lastModifiedBy>Sandra Sousa Bernardo</cp:lastModifiedBy>
  <cp:revision>27</cp:revision>
  <cp:lastPrinted>2014-03-07T15:04:00Z</cp:lastPrinted>
  <dcterms:created xsi:type="dcterms:W3CDTF">2012-06-04T17:05:00Z</dcterms:created>
  <dcterms:modified xsi:type="dcterms:W3CDTF">2014-09-26T08:35:00Z</dcterms:modified>
</cp:coreProperties>
</file>